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rFonts w:ascii="Arial" w:hAnsi="Arial" w:cs="Times New Roman"/>
          <w:b w:val="false"/>
          <w:sz w:val="22"/>
          <w:szCs w:val="22"/>
        </w:rPr>
      </w:pPr>
      <w:r>
        <w:rPr>
          <w:rFonts w:cs="Times New Roman"/>
          <w:b w:val="false"/>
          <w:sz w:val="22"/>
          <w:szCs w:val="22"/>
        </w:rPr>
        <w:t>Pielikums Nr. 1</w:t>
      </w:r>
    </w:p>
    <w:p>
      <w:pPr>
        <w:pStyle w:val="Normal"/>
        <w:jc w:val="end"/>
        <w:rPr>
          <w:rFonts w:ascii="Arial" w:hAnsi="Arial"/>
          <w:sz w:val="22"/>
          <w:szCs w:val="22"/>
        </w:rPr>
      </w:pPr>
      <w:r>
        <w:rPr>
          <w:rFonts w:cs="Times New Roman"/>
          <w:b w:val="false"/>
          <w:sz w:val="22"/>
          <w:szCs w:val="22"/>
        </w:rPr>
        <w:t xml:space="preserve">Cenu aptaujai </w:t>
      </w:r>
      <w:r>
        <w:rPr>
          <w:rFonts w:cs="Times New Roman"/>
          <w:b w:val="false"/>
          <w:sz w:val="22"/>
          <w:szCs w:val="22"/>
          <w:lang w:eastAsia="zxx" w:bidi="zxx"/>
        </w:rPr>
        <w:t>Nr. 2026/1-28/9</w:t>
      </w:r>
    </w:p>
    <w:p>
      <w:pPr>
        <w:pStyle w:val="Normal"/>
        <w:jc w:val="end"/>
        <w:rPr>
          <w:rFonts w:ascii="Arial" w:hAnsi="Arial"/>
          <w:sz w:val="22"/>
          <w:szCs w:val="22"/>
        </w:rPr>
      </w:pPr>
      <w:r>
        <w:rPr>
          <w:rFonts w:cs="Times New Roman"/>
          <w:b w:val="false"/>
          <w:i/>
          <w:iCs/>
          <w:sz w:val="22"/>
          <w:szCs w:val="22"/>
          <w:lang w:val="lv-LV" w:eastAsia="zxx" w:bidi="zxx"/>
        </w:rPr>
        <w:t xml:space="preserve">                                                                                                “</w:t>
      </w:r>
      <w:r>
        <w:rPr>
          <w:rFonts w:cs="Times New Roman"/>
          <w:b w:val="false"/>
          <w:i/>
          <w:iCs/>
          <w:sz w:val="22"/>
          <w:szCs w:val="22"/>
          <w:lang w:val="lv-LV" w:eastAsia="zxx" w:bidi="zxx"/>
        </w:rPr>
        <w:t>SIA “Liepājas namu apsaimniekotājs valdījumā esošo liftu uzturēšana”</w:t>
      </w:r>
    </w:p>
    <w:p>
      <w:pPr>
        <w:pStyle w:val="Normal"/>
        <w:spacing w:before="0" w:after="480"/>
        <w:jc w:val="center"/>
        <w:rPr>
          <w:color w:val="000000"/>
          <w:sz w:val="26"/>
          <w:szCs w:val="26"/>
        </w:rPr>
      </w:pPr>
      <w:r>
        <w:rPr>
          <w:color w:val="000000"/>
          <w:sz w:val="26"/>
          <w:szCs w:val="26"/>
        </w:rPr>
      </w:r>
    </w:p>
    <w:p>
      <w:pPr>
        <w:pStyle w:val="Normal"/>
        <w:spacing w:before="0" w:after="480"/>
        <w:jc w:val="center"/>
        <w:rPr>
          <w:color w:val="000000"/>
          <w:sz w:val="26"/>
          <w:szCs w:val="26"/>
        </w:rPr>
      </w:pPr>
      <w:r>
        <w:rPr>
          <w:b/>
          <w:color w:val="000000"/>
          <w:sz w:val="26"/>
          <w:szCs w:val="26"/>
        </w:rPr>
        <w:t>TEHNISKĀ SPECIFIKĀCIJA CENU APTAUJAI</w:t>
        <w:br/>
        <w:t>"Liftu tehniskā apkope, apskates un avārijas dienesta nodrošināšana"</w:t>
      </w:r>
    </w:p>
    <w:p>
      <w:pPr>
        <w:pStyle w:val="Normal"/>
        <w:keepNext w:val="true"/>
        <w:spacing w:before="360" w:after="120"/>
        <w:rPr>
          <w:color w:val="000000"/>
        </w:rPr>
      </w:pPr>
      <w:r>
        <w:rPr>
          <w:b/>
          <w:color w:val="000000"/>
          <w:sz w:val="24"/>
          <w:szCs w:val="24"/>
        </w:rPr>
        <w:t>1. Vispārīgā informācija un iepirkuma priekšmets</w:t>
      </w:r>
    </w:p>
    <w:p>
      <w:pPr>
        <w:pStyle w:val="Normal"/>
        <w:rPr/>
      </w:pPr>
      <w:r>
        <w:rPr/>
        <w:t>1.1. SIA “Liepājas namu apsaimniekotājs” organizē cenu aptauju par pastāvīgu, drošu un normatīvajiem aktiem atbilstošu liftu tehnisko apkopi, regulārajām apskatēm un diennakts avārijas dienesta nodrošināšanu daudzdzīvokļu dzīvojamās mājās Liepājā.</w:t>
      </w:r>
    </w:p>
    <w:p>
      <w:pPr>
        <w:pStyle w:val="Normal"/>
        <w:spacing w:before="0" w:after="40"/>
        <w:rPr/>
      </w:pPr>
      <w:r>
        <w:rPr/>
        <w:t>1.2. Apkalpojamo objektu skaits:</w:t>
      </w:r>
    </w:p>
    <w:p>
      <w:pPr>
        <w:pStyle w:val="ListBullet"/>
        <w:numPr>
          <w:ilvl w:val="0"/>
          <w:numId w:val="1"/>
        </w:numPr>
        <w:rPr/>
      </w:pPr>
      <w:r>
        <w:rPr>
          <w:b/>
        </w:rPr>
        <w:t>Kopējais dzīvojamo māju skaits: 18</w:t>
      </w:r>
      <w:r>
        <w:rPr/>
        <w:t xml:space="preserve"> mājas.</w:t>
      </w:r>
    </w:p>
    <w:p>
      <w:pPr>
        <w:pStyle w:val="ListBullet"/>
        <w:numPr>
          <w:ilvl w:val="0"/>
          <w:numId w:val="1"/>
        </w:numPr>
        <w:rPr/>
      </w:pPr>
      <w:r>
        <w:rPr>
          <w:b/>
        </w:rPr>
        <w:t>Kopējais liftu skaits: 35</w:t>
      </w:r>
      <w:r>
        <w:rPr/>
        <w:t xml:space="preserve"> lifti.</w:t>
      </w:r>
    </w:p>
    <w:p>
      <w:pPr>
        <w:pStyle w:val="ListBullet"/>
        <w:numPr>
          <w:ilvl w:val="0"/>
          <w:numId w:val="1"/>
        </w:numPr>
        <w:rPr/>
      </w:pPr>
      <w:r>
        <w:rPr>
          <w:b/>
        </w:rPr>
        <w:t xml:space="preserve">Liftu tips un vecums: </w:t>
      </w:r>
      <w:r>
        <w:rPr>
          <w:b w:val="false"/>
          <w:bCs w:val="false"/>
        </w:rPr>
        <w:t>pasažieru lifti ar celtspēju līdz 400 kg,</w:t>
      </w:r>
      <w:r>
        <w:rPr/>
        <w:t xml:space="preserve"> kuru ekspluatācijas laiks pārsniedz 34 līdz 50 gadus. </w:t>
      </w:r>
    </w:p>
    <w:p>
      <w:pPr>
        <w:pStyle w:val="Normal"/>
        <w:rPr/>
      </w:pPr>
      <w:r>
        <w:rPr/>
        <w:t>1.3. Līguma termiņš: 24 mēneši kopš līguma parakstīšanas brīža ar iespēju pagarināt līguma darības laiku.</w:t>
      </w:r>
    </w:p>
    <w:p>
      <w:pPr>
        <w:pStyle w:val="Normal"/>
        <w:keepNext w:val="true"/>
        <w:spacing w:before="360" w:after="120"/>
        <w:rPr>
          <w:color w:val="000000"/>
        </w:rPr>
      </w:pPr>
      <w:r>
        <w:rPr>
          <w:b/>
          <w:color w:val="000000"/>
          <w:sz w:val="24"/>
          <w:szCs w:val="24"/>
        </w:rPr>
        <w:t>2. Tehniskās apkopes un apskašu apjoms</w:t>
      </w:r>
    </w:p>
    <w:p>
      <w:pPr>
        <w:pStyle w:val="Normal"/>
        <w:rPr/>
      </w:pPr>
      <w:r>
        <w:rPr/>
        <w:t>Izpildītājam jānodrošina pilns pakalpojumu cikls saskaņā ar Latvijas Republikā spēkā esošajiem Ministru kabineta noteikumiem, kas regulē liftu drošību un tehnisko uzraudzību:</w:t>
      </w:r>
    </w:p>
    <w:p>
      <w:pPr>
        <w:pStyle w:val="ListBullet"/>
        <w:numPr>
          <w:ilvl w:val="0"/>
          <w:numId w:val="1"/>
        </w:numPr>
        <w:spacing w:before="0" w:after="80"/>
        <w:contextualSpacing/>
        <w:rPr/>
      </w:pPr>
      <w:r>
        <w:rPr>
          <w:b/>
        </w:rPr>
        <w:t xml:space="preserve">Regulārā ikmēneša tehniskā apkope: </w:t>
      </w:r>
      <w:r>
        <w:rPr/>
        <w:t>Liftu mehānismu, elektroiekārtu, drošības mezglu, trošu, bremžu sistēmu un šahtas aprīkojuma tīrīšana, eļļošana, regulēšana un tehnisko parametru pārbaude atbilstoši ražotāja un normatīvu prasībām.</w:t>
      </w:r>
    </w:p>
    <w:p>
      <w:pPr>
        <w:pStyle w:val="ListBullet"/>
        <w:numPr>
          <w:ilvl w:val="0"/>
          <w:numId w:val="1"/>
        </w:numPr>
        <w:spacing w:before="0" w:after="80"/>
        <w:contextualSpacing/>
        <w:rPr/>
      </w:pPr>
      <w:r>
        <w:rPr>
          <w:b/>
        </w:rPr>
        <w:t xml:space="preserve">Periodiskās un kārtējās apskates: </w:t>
      </w:r>
      <w:r>
        <w:rPr/>
        <w:t>Regulāras vizuālās un funkcionālās pārbaudes, nodrošinot savlaicīgu defektu fiksēšanu un ierakstu veikšanu lifta tehniskajā pasē vai žurnālā.</w:t>
      </w:r>
    </w:p>
    <w:p>
      <w:pPr>
        <w:pStyle w:val="ListBullet"/>
        <w:numPr>
          <w:ilvl w:val="0"/>
          <w:numId w:val="1"/>
        </w:numPr>
        <w:spacing w:before="0" w:after="80"/>
        <w:contextualSpacing/>
        <w:rPr/>
      </w:pPr>
      <w:r>
        <w:rPr>
          <w:b/>
        </w:rPr>
        <w:t xml:space="preserve">24/7 Avārijas dienests: </w:t>
      </w:r>
      <w:r>
        <w:rPr/>
        <w:t>Diennakts dispečerdienesta un operatīvās avārijas brigādes pieejamība 365 dienas gadā. Izsaukumu pieņemšana un tūlītēja reaģēšana.</w:t>
      </w:r>
    </w:p>
    <w:p>
      <w:pPr>
        <w:pStyle w:val="ListBullet"/>
        <w:numPr>
          <w:ilvl w:val="0"/>
          <w:numId w:val="1"/>
        </w:numPr>
        <w:spacing w:before="0" w:after="80"/>
        <w:contextualSpacing/>
        <w:rPr/>
      </w:pPr>
      <w:r>
        <w:rPr>
          <w:b/>
        </w:rPr>
        <w:t xml:space="preserve">Cilvēku evakuācijas laiks: </w:t>
      </w:r>
      <w:r>
        <w:rPr/>
        <w:t>Iesprūdušu cilvēku atbrīvošana no lifta kabīnes jāveic maksimāli 45 minūšu laikā no izsaukuma saņemšanas brīža dispečerdienestā.</w:t>
      </w:r>
    </w:p>
    <w:p>
      <w:pPr>
        <w:pStyle w:val="ListBullet"/>
        <w:numPr>
          <w:ilvl w:val="0"/>
          <w:numId w:val="1"/>
        </w:numPr>
        <w:spacing w:before="0" w:after="80"/>
        <w:contextualSpacing/>
        <w:rPr/>
      </w:pPr>
      <w:r>
        <w:rPr>
          <w:b/>
        </w:rPr>
        <w:t xml:space="preserve">Sagatavošana ikgadējām pārbaudēm: </w:t>
      </w:r>
      <w:r>
        <w:rPr/>
        <w:t>Liftu sagatavošana akreditētas inspicēšanas institūcijas veiktajai ikgadējai drošuma un tehniskajai pārbaudei. Izpildītāja pilnvarotā speciālista obligāta klātbūtne un līdzdalība šajās pārbaudēs.</w:t>
      </w:r>
    </w:p>
    <w:p>
      <w:pPr>
        <w:pStyle w:val="ListBullet"/>
        <w:numPr>
          <w:ilvl w:val="0"/>
          <w:numId w:val="1"/>
        </w:numPr>
        <w:spacing w:before="0" w:after="80"/>
        <w:contextualSpacing/>
        <w:rPr/>
      </w:pPr>
      <w:r>
        <w:rPr>
          <w:b/>
        </w:rPr>
        <w:t xml:space="preserve">Sīkie palīgmateriāli: </w:t>
      </w:r>
      <w:r>
        <w:rPr/>
        <w:t>Ikmēneša maksā jāiekļauj visi nepieciešamie palīgmateriāli regulārajai uzturēšanai (smērvielas, eļļas, tīrīšanas līdzekļi, izolācijas materiāli, drošinātāji, standarta skrūves/uzgriežņi un sīkās detaļas vērtībā līdz 15,00 EUR uz vienu remontu.</w:t>
      </w:r>
    </w:p>
    <w:p>
      <w:pPr>
        <w:pStyle w:val="Normal"/>
        <w:keepNext w:val="true"/>
        <w:spacing w:before="360" w:after="120"/>
        <w:rPr>
          <w:color w:val="000000"/>
        </w:rPr>
      </w:pPr>
      <w:r>
        <w:rPr>
          <w:b/>
          <w:color w:val="000000"/>
          <w:sz w:val="24"/>
          <w:szCs w:val="24"/>
        </w:rPr>
        <w:t>3. Prasības pretendentam (Kvalifikācija)</w:t>
      </w:r>
    </w:p>
    <w:p>
      <w:pPr>
        <w:pStyle w:val="ListBullet"/>
        <w:numPr>
          <w:ilvl w:val="0"/>
          <w:numId w:val="1"/>
        </w:numPr>
        <w:spacing w:before="0" w:after="80"/>
        <w:contextualSpacing/>
        <w:rPr>
          <w:highlight w:val="none"/>
          <w:shd w:fill="auto" w:val="clear"/>
        </w:rPr>
      </w:pPr>
      <w:r>
        <w:rPr>
          <w:shd w:fill="auto" w:val="clear"/>
        </w:rPr>
        <w:t>Pretendentam ir jābūt reģistrētam Latvijas Republikas Uzņēmumu reģistrā.</w:t>
      </w:r>
    </w:p>
    <w:p>
      <w:pPr>
        <w:pStyle w:val="ListBullet"/>
        <w:numPr>
          <w:ilvl w:val="0"/>
          <w:numId w:val="1"/>
        </w:numPr>
        <w:spacing w:before="0" w:after="80"/>
        <w:contextualSpacing/>
        <w:rPr/>
      </w:pPr>
      <w:r>
        <w:rPr/>
        <w:t xml:space="preserve">Pretendentam jānodrošina sertificēts, instruēts un pieredzējis tehniskais personāls, kuram ir praktiska pieredze </w:t>
      </w:r>
      <w:r>
        <w:rPr/>
        <w:t>Mogiļevā (Baltkrievija) ražotu</w:t>
      </w:r>
      <w:r>
        <w:rPr/>
        <w:t xml:space="preserve"> liftu apkalpošanā un specifisku defektu novēršanā.</w:t>
      </w:r>
    </w:p>
    <w:p>
      <w:pPr>
        <w:pStyle w:val="ListBullet"/>
        <w:numPr>
          <w:ilvl w:val="0"/>
          <w:numId w:val="1"/>
        </w:numPr>
        <w:spacing w:before="0" w:after="80"/>
        <w:contextualSpacing/>
        <w:rPr/>
      </w:pPr>
      <w:r>
        <w:rPr/>
        <w:t>Pretendentam jāapliecina gatavība nodrošināt, pēc līguma noslēgšanas, spēkā esošu uzņēmuma civiltiesiskās atbildības apdrošināšanas polisi par summu ne mazāku kā 50 000 EUR, lai segtu iespējamos zaudējumus, kas var rasties trešajām personām Izpildītāja darbības vai bezdarbības dēļ.</w:t>
      </w:r>
    </w:p>
    <w:p>
      <w:pPr>
        <w:pStyle w:val="ListBullet"/>
        <w:numPr>
          <w:ilvl w:val="0"/>
          <w:numId w:val="1"/>
        </w:numPr>
        <w:spacing w:before="0" w:after="80"/>
        <w:contextualSpacing/>
        <w:rPr/>
      </w:pPr>
      <w:r>
        <w:rPr>
          <w:b/>
          <w:bCs/>
        </w:rPr>
        <w:t>Obligāta prasība</w:t>
      </w:r>
      <w:r>
        <w:rPr/>
        <w:t>: pastāvīgas operatīvās bāzes/avārijas brigādes klātbūtne un izvietojums Liepājas pilsētas teritorijā operatīva reaģēšanas laika nodrošināšanai.</w:t>
      </w:r>
    </w:p>
    <w:p>
      <w:pPr>
        <w:pStyle w:val="Normal"/>
        <w:keepNext w:val="true"/>
        <w:spacing w:before="360" w:after="120"/>
        <w:rPr>
          <w:color w:val="000000"/>
        </w:rPr>
      </w:pPr>
      <w:r>
        <w:rPr>
          <w:b/>
          <w:color w:val="000000"/>
          <w:sz w:val="24"/>
          <w:szCs w:val="24"/>
        </w:rPr>
        <w:t>4. Speciālie nosacījumi  liftu uzturēšanai</w:t>
      </w:r>
    </w:p>
    <w:p>
      <w:pPr>
        <w:pStyle w:val="Normal"/>
        <w:rPr/>
      </w:pPr>
      <w:r>
        <w:rPr/>
        <w:t>4.1. Defektu akti un tāmēšana: Ja kārtējās apkopes vai avārijas izsaukuma laikā tiek konstatēts nopietns mezgla nolietojums vai bojājums, kura novēršana nav iekļauta ikmēneša uzturēšanas maksā, Izpildītājs sagatavo defektu aktu un remontdarbu tāmi. Darbus drīkst uzsākt tikai pēc rakstiska saskaņojuma saņemšanas no Pasūtītāja (mājas apsaimniekotāja).</w:t>
      </w:r>
    </w:p>
    <w:p>
      <w:pPr>
        <w:pStyle w:val="Normal"/>
        <w:rPr/>
      </w:pPr>
      <w:r>
        <w:rPr/>
        <w:t>4.2. Dīkstāves ierobežojumi: Ja lifts tehniska bojājuma dēļ nedarbojas, Izpildītājam prioritāri jāveic defekta diagnostika un jāiesniedz tāme. Maksimālais pieļaujamais dīkstāves laiks standarta detaļu nomaiņai nedrīkst pārsniegt 3 darba dienas. Ja nepieciešams nestandarta mezglu remonts, termiņš tiek saskaņots atsevišķi.</w:t>
      </w:r>
    </w:p>
    <w:p>
      <w:pPr>
        <w:pStyle w:val="Normal"/>
        <w:widowControl/>
        <w:bidi w:val="0"/>
        <w:spacing w:lineRule="auto" w:line="276" w:before="0" w:after="200"/>
        <w:jc w:val="start"/>
        <w:rPr/>
      </w:pPr>
      <w:r>
        <w:rPr/>
        <w:br/>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Cambria">
    <w:charset w:val="ba" w:characterSet="windows-1257"/>
    <w:family w:val="roman"/>
    <w:pitch w:val="variable"/>
  </w:font>
  <w:font w:name="Arial">
    <w:charset w:val="ba" w:characterSet="windows-1257"/>
    <w:family w:val="swiss"/>
    <w:pitch w:val="variable"/>
  </w:font>
  <w:font w:name="Calibri">
    <w:charset w:val="ba" w:characterSet="windows-1257"/>
    <w:family w:val="roman"/>
    <w:pitch w:val="variable"/>
  </w:font>
  <w:font w:name="Courier">
    <w:altName w:val="Courier New"/>
    <w:charset w:val="ba" w:characterSet="windows-1257"/>
    <w:family w:val="roman"/>
    <w:pitch w:val="variable"/>
  </w:font>
  <w:font w:name="Liberation Sans">
    <w:altName w:val="Arial"/>
    <w:charset w:val="ba" w:characterSet="windows-1257"/>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Arial" w:hAnsi="Arial" w:eastAsia="ＭＳ 明朝" w:cs=""/>
      <w:color w:val="333333"/>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Virsraksts">
    <w:name w:val="Virsraksts"/>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Rdtjs">
    <w:name w:val="Rādītājs"/>
    <w:basedOn w:val="Normal"/>
    <w:qFormat/>
    <w:pPr>
      <w:suppressLineNumbers/>
    </w:pPr>
    <w:rPr>
      <w:rFonts w:cs="Arial Unicode MS"/>
    </w:rPr>
  </w:style>
  <w:style w:type="paragraph" w:styleId="Virsrakstsuser">
    <w:name w:val="Virsraksts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Rdtjsuser">
    <w:name w:val="Rādītājs (user)"/>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Virsraksts"/>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Application>LibreOffice/26.2.5.2$Windows_X86_64 LibreOffice_project/cd7284b4cbbfeb507e630c1aac019f4157393acb</Application>
  <AppVersion>15.0000</AppVersion>
  <Pages>2</Pages>
  <Words>461</Words>
  <Characters>3316</Characters>
  <CharactersWithSpaces>3836</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lv-LV</dc:language>
  <cp:lastModifiedBy/>
  <dcterms:modified xsi:type="dcterms:W3CDTF">2026-09-21T09:20:49Z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