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48DBEC59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E768EB">
        <w:rPr>
          <w:rFonts w:ascii="Times New Roman" w:hAnsi="Times New Roman" w:cs="Times New Roman"/>
          <w:b/>
          <w:bCs/>
          <w:sz w:val="20"/>
          <w:szCs w:val="20"/>
        </w:rPr>
        <w:t>Brīvības ielā 115A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E768EB" w:rsidRPr="00E768EB">
        <w:rPr>
          <w:rFonts w:ascii="Times New Roman" w:hAnsi="Times New Roman" w:cs="Times New Roman"/>
          <w:b/>
          <w:bCs/>
          <w:sz w:val="20"/>
          <w:szCs w:val="20"/>
        </w:rPr>
        <w:t>17000220096001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E768EB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4A2F3F"/>
    <w:rsid w:val="007C3446"/>
    <w:rsid w:val="007D577F"/>
    <w:rsid w:val="008349AF"/>
    <w:rsid w:val="008830E1"/>
    <w:rsid w:val="0090510F"/>
    <w:rsid w:val="009B42EC"/>
    <w:rsid w:val="00AA4868"/>
    <w:rsid w:val="00AB199F"/>
    <w:rsid w:val="00AF59AF"/>
    <w:rsid w:val="00B437CE"/>
    <w:rsid w:val="00C36DD3"/>
    <w:rsid w:val="00D539C3"/>
    <w:rsid w:val="00D66F99"/>
    <w:rsid w:val="00D874E5"/>
    <w:rsid w:val="00E0009B"/>
    <w:rsid w:val="00E638EA"/>
    <w:rsid w:val="00E768EB"/>
    <w:rsid w:val="00EA1B7D"/>
    <w:rsid w:val="00ED07F6"/>
    <w:rsid w:val="00F450BC"/>
    <w:rsid w:val="00F6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1966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18</cp:revision>
  <dcterms:created xsi:type="dcterms:W3CDTF">2019-07-16T12:00:00Z</dcterms:created>
  <dcterms:modified xsi:type="dcterms:W3CDTF">2021-05-28T06:53:00Z</dcterms:modified>
</cp:coreProperties>
</file>